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7D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17D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17D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73DC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8" w:history="1">
              <w:r w:rsidRPr="00A858AC">
                <w:rPr>
                  <w:rStyle w:val="a3"/>
                  <w:lang w:val="en-US"/>
                </w:rPr>
                <w:t>Koshcheev</w:t>
              </w:r>
              <w:r w:rsidRPr="00623D01">
                <w:rPr>
                  <w:rStyle w:val="a3"/>
                </w:rPr>
                <w:t>@</w:t>
              </w:r>
              <w:r w:rsidRPr="00A858AC">
                <w:rPr>
                  <w:rStyle w:val="a3"/>
                  <w:lang w:val="en-US"/>
                </w:rPr>
                <w:t>bashtel</w:t>
              </w:r>
              <w:r w:rsidRPr="00623D01">
                <w:rPr>
                  <w:rStyle w:val="a3"/>
                </w:rPr>
                <w:t>.</w:t>
              </w:r>
              <w:proofErr w:type="spellStart"/>
              <w:r w:rsidRPr="00A858AC">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C0135">
            <w:r>
              <w:t>«</w:t>
            </w:r>
            <w:r w:rsidR="00DB03CB">
              <w:t>2</w:t>
            </w:r>
            <w:r w:rsidR="00CC0135">
              <w:t>2</w:t>
            </w:r>
            <w:r w:rsidR="0014229A" w:rsidRPr="005C24A0">
              <w:t>»</w:t>
            </w:r>
            <w:r w:rsidR="000F4823">
              <w:rPr>
                <w:lang w:val="en-US"/>
              </w:rPr>
              <w:t xml:space="preserve"> </w:t>
            </w:r>
            <w:r w:rsidR="00CC0135">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F427F">
              <w:t>22</w:t>
            </w:r>
            <w:r w:rsidR="007C6F21" w:rsidRPr="005C24A0">
              <w:t>»</w:t>
            </w:r>
            <w:r w:rsidR="007C6F21" w:rsidRPr="007C6F21">
              <w:t xml:space="preserve"> </w:t>
            </w:r>
            <w:r w:rsidR="00BF427F">
              <w:t>марта</w:t>
            </w:r>
            <w:r w:rsidR="007C6F21">
              <w:t xml:space="preserve"> 2016</w:t>
            </w:r>
            <w:r w:rsidR="007C6F21" w:rsidRPr="005C24A0">
              <w:t xml:space="preserve"> </w:t>
            </w:r>
            <w:r w:rsidR="007C17D3">
              <w:t xml:space="preserve">  года </w:t>
            </w:r>
            <w:r w:rsidR="007C17D3">
              <w:lastRenderedPageBreak/>
              <w:t>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BF427F">
            <w:r>
              <w:t>«</w:t>
            </w:r>
            <w:r w:rsidR="00BF427F">
              <w:t>11</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BF427F">
            <w:pPr>
              <w:rPr>
                <w:highlight w:val="lightGray"/>
              </w:rPr>
            </w:pPr>
            <w:r>
              <w:rPr>
                <w:iCs/>
              </w:rPr>
              <w:t>«</w:t>
            </w:r>
            <w:r w:rsidR="00BF427F">
              <w:rPr>
                <w:iCs/>
              </w:rPr>
              <w:t>11</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F427F">
              <w:t>13</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F427F">
              <w:t>13</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26</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37CE8" w:rsidRPr="00972152" w:rsidRDefault="00337CE8" w:rsidP="00337CE8">
            <w:r w:rsidRPr="00972152">
              <w:rPr>
                <w:b/>
              </w:rPr>
              <w:t xml:space="preserve">Поставка </w:t>
            </w:r>
            <w:r>
              <w:rPr>
                <w:b/>
              </w:rPr>
              <w:t>систем электропитания постоянного тока</w:t>
            </w:r>
            <w:r w:rsidRPr="00972152">
              <w:rPr>
                <w:b/>
              </w:rPr>
              <w:t>.</w:t>
            </w:r>
            <w:r w:rsidRPr="00972152">
              <w:t xml:space="preserve"> </w:t>
            </w:r>
          </w:p>
          <w:p w:rsidR="0014229A" w:rsidRPr="00227C39" w:rsidRDefault="00337CE8" w:rsidP="00337CE8">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37CE8" w:rsidRDefault="00337CE8" w:rsidP="00337CE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3 997 512,10 (Три миллиона девятьсот девяносто семь тысяч пятьсот двенадцать) рублей  10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609 789,98 </w:t>
            </w:r>
            <w:r w:rsidRPr="00AA5094">
              <w:rPr>
                <w:iCs/>
              </w:rPr>
              <w:t>рубл</w:t>
            </w:r>
            <w:r>
              <w:rPr>
                <w:iCs/>
              </w:rPr>
              <w:t>ей</w:t>
            </w:r>
            <w:r w:rsidRPr="00AA5094">
              <w:rPr>
                <w:iCs/>
              </w:rPr>
              <w:t xml:space="preserve">. </w:t>
            </w:r>
          </w:p>
          <w:p w:rsidR="00337CE8" w:rsidRPr="00AA5094" w:rsidRDefault="00337CE8" w:rsidP="00337CE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3 387 722,12</w:t>
            </w:r>
            <w:r w:rsidRPr="00AA5094">
              <w:rPr>
                <w:iCs/>
              </w:rPr>
              <w:t xml:space="preserve"> </w:t>
            </w:r>
            <w:r>
              <w:rPr>
                <w:iCs/>
              </w:rPr>
              <w:t>рубля.</w:t>
            </w:r>
          </w:p>
          <w:p w:rsidR="00337CE8" w:rsidRPr="00AA5094" w:rsidRDefault="00337CE8" w:rsidP="00337CE8">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337CE8"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37CE8" w:rsidRPr="00972152" w:rsidRDefault="00337CE8" w:rsidP="00337CE8">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Адреса поставок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337CE8" w:rsidRPr="00972152" w:rsidRDefault="00337CE8" w:rsidP="00337CE8">
            <w:pPr>
              <w:autoSpaceDE w:val="0"/>
              <w:autoSpaceDN w:val="0"/>
              <w:adjustRightInd w:val="0"/>
              <w:jc w:val="both"/>
            </w:pPr>
            <w:r w:rsidRPr="00972152">
              <w:t>Условия поставки товара 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337CE8" w:rsidP="00337CE8">
            <w:pPr>
              <w:pStyle w:val="Default"/>
              <w:jc w:val="both"/>
            </w:pPr>
            <w:r>
              <w:rPr>
                <w:rFonts w:eastAsia="Times New Roman"/>
                <w:lang w:eastAsia="ru-RU"/>
              </w:rPr>
              <w:t>Срок (периоды) поставки товара</w:t>
            </w:r>
            <w:r w:rsidRPr="00972152">
              <w:rPr>
                <w:rFonts w:eastAsia="Times New Roman"/>
                <w:lang w:eastAsia="ru-RU"/>
              </w:rPr>
              <w:t xml:space="preserve"> 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17D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bookmarkStart w:id="35" w:name="_GoBack"/>
            <w:bookmarkEnd w:id="35"/>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17DF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17D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17D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17D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w:t>
            </w:r>
            <w:proofErr w:type="gramStart"/>
            <w:r w:rsidR="00C32B40" w:rsidRPr="00DB03CB">
              <w:rPr>
                <w:lang w:eastAsia="en-US"/>
              </w:rPr>
              <w:t>с даты подписания</w:t>
            </w:r>
            <w:proofErr w:type="gramEnd"/>
            <w:r w:rsidR="00C32B40" w:rsidRPr="00DB03CB">
              <w:rPr>
                <w:lang w:eastAsia="en-US"/>
              </w:rPr>
              <w:t xml:space="preserve">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w:t>
      </w:r>
      <w:proofErr w:type="gramStart"/>
      <w:r w:rsidR="005C6DCB" w:rsidRPr="00B21CC5">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w:t>
      </w:r>
      <w:proofErr w:type="gramEnd"/>
      <w:r w:rsidR="00761639" w:rsidRPr="004A02DC">
        <w:t xml:space="preserve">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DCD" w:rsidRDefault="00373DCD" w:rsidP="0014229A">
      <w:r>
        <w:separator/>
      </w:r>
    </w:p>
  </w:endnote>
  <w:endnote w:type="continuationSeparator" w:id="0">
    <w:p w:rsidR="00373DCD" w:rsidRDefault="00373DC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DCD" w:rsidRDefault="00373DCD" w:rsidP="0014229A">
      <w:r>
        <w:separator/>
      </w:r>
    </w:p>
  </w:footnote>
  <w:footnote w:type="continuationSeparator" w:id="0">
    <w:p w:rsidR="00373DCD" w:rsidRDefault="00373DC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623D01">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3434A"/>
    <w:rsid w:val="004C05AA"/>
    <w:rsid w:val="00517DF6"/>
    <w:rsid w:val="005717E2"/>
    <w:rsid w:val="00574643"/>
    <w:rsid w:val="005770DA"/>
    <w:rsid w:val="00580C36"/>
    <w:rsid w:val="0058706C"/>
    <w:rsid w:val="00591BD4"/>
    <w:rsid w:val="005A0857"/>
    <w:rsid w:val="005A12D2"/>
    <w:rsid w:val="005B0AB9"/>
    <w:rsid w:val="005C6DCB"/>
    <w:rsid w:val="005E779F"/>
    <w:rsid w:val="006023C7"/>
    <w:rsid w:val="00623D01"/>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6C4F8-0A2E-4F80-B943-8AFF2A55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20</Pages>
  <Words>7957</Words>
  <Characters>45357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35</cp:revision>
  <cp:lastPrinted>2016-02-26T05:15:00Z</cp:lastPrinted>
  <dcterms:created xsi:type="dcterms:W3CDTF">2015-10-07T04:10:00Z</dcterms:created>
  <dcterms:modified xsi:type="dcterms:W3CDTF">2016-03-22T06:00:00Z</dcterms:modified>
</cp:coreProperties>
</file>